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9C" w:rsidRPr="00293836" w:rsidRDefault="00F94D4A" w:rsidP="007A7C9C">
      <w:pPr>
        <w:tabs>
          <w:tab w:val="left" w:pos="-3261"/>
        </w:tabs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5.25pt;margin-top:7.7pt;width:315.05pt;height:63.75pt;z-index:251657216" stroked="f">
            <v:textbox style="mso-next-textbox:#_x0000_s1027" inset=",.3mm,,.3mm">
              <w:txbxContent>
                <w:p w:rsidR="007A7C9C" w:rsidRPr="00A50291" w:rsidRDefault="007A7C9C" w:rsidP="007A7C9C">
                  <w:pPr>
                    <w:rPr>
                      <w:b/>
                      <w:sz w:val="30"/>
                      <w:szCs w:val="30"/>
                      <w:lang w:val="bg-BG"/>
                    </w:rPr>
                  </w:pPr>
                  <w:r w:rsidRPr="00A50291">
                    <w:rPr>
                      <w:b/>
                      <w:sz w:val="30"/>
                      <w:szCs w:val="30"/>
                      <w:lang w:val="bg-BG"/>
                    </w:rPr>
                    <w:t>РЕПУБЛИКА БЪЛГАРИЯ</w:t>
                  </w:r>
                </w:p>
                <w:p w:rsidR="007A7C9C" w:rsidRDefault="007A7C9C" w:rsidP="007A7C9C">
                  <w:pPr>
                    <w:rPr>
                      <w:b/>
                      <w:sz w:val="26"/>
                      <w:szCs w:val="26"/>
                      <w:lang w:val="bg-BG"/>
                    </w:rPr>
                  </w:pPr>
                  <w:r>
                    <w:rPr>
                      <w:b/>
                      <w:sz w:val="26"/>
                      <w:szCs w:val="26"/>
                      <w:lang w:val="bg-BG"/>
                    </w:rPr>
                    <w:t>Областна администрация</w:t>
                  </w:r>
                </w:p>
                <w:p w:rsidR="007A7C9C" w:rsidRPr="00A50291" w:rsidRDefault="007A7C9C" w:rsidP="007A7C9C">
                  <w:pPr>
                    <w:rPr>
                      <w:b/>
                      <w:sz w:val="26"/>
                      <w:szCs w:val="26"/>
                      <w:lang w:val="bg-BG"/>
                    </w:rPr>
                  </w:pPr>
                  <w:r>
                    <w:rPr>
                      <w:b/>
                      <w:sz w:val="26"/>
                      <w:szCs w:val="26"/>
                      <w:lang w:val="bg-BG"/>
                    </w:rPr>
                    <w:t>Хасково</w:t>
                  </w:r>
                </w:p>
              </w:txbxContent>
            </v:textbox>
          </v:shape>
        </w:pict>
      </w:r>
      <w:r>
        <w:rPr>
          <w:sz w:val="22"/>
          <w:szCs w:val="22"/>
          <w:lang w:val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8.45pt;margin-top:7.7pt;width:.05pt;height:54.75pt;z-index:251658240" o:connectortype="straight"/>
        </w:pict>
      </w:r>
      <w:r w:rsidR="007A7C9C" w:rsidRPr="00293836">
        <w:rPr>
          <w:noProof/>
          <w:sz w:val="22"/>
          <w:szCs w:val="22"/>
          <w:lang w:val="bg-BG" w:eastAsia="bg-BG"/>
        </w:rPr>
        <w:drawing>
          <wp:inline distT="0" distB="0" distL="0" distR="0">
            <wp:extent cx="645442" cy="806450"/>
            <wp:effectExtent l="38100" t="0" r="21308" b="0"/>
            <wp:docPr id="1" name="Picture 1" descr="Lion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on.JPG"/>
                    <pic:cNvPicPr preferRelativeResize="0"/>
                  </pic:nvPicPr>
                  <pic:blipFill>
                    <a:blip r:embed="rId9" cstate="print"/>
                    <a:srcRect t="8871" b="10484"/>
                    <a:stretch>
                      <a:fillRect/>
                    </a:stretch>
                  </pic:blipFill>
                  <pic:spPr>
                    <a:xfrm>
                      <a:off x="0" y="0"/>
                      <a:ext cx="645442" cy="806450"/>
                    </a:xfrm>
                    <a:prstGeom prst="rect">
                      <a:avLst/>
                    </a:prstGeom>
                    <a:noFill/>
                    <a:ln w="88900" cap="sq">
                      <a:noFill/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7A7C9C" w:rsidRPr="00293836">
        <w:rPr>
          <w:sz w:val="22"/>
          <w:szCs w:val="22"/>
          <w:lang w:val="bg-BG"/>
        </w:rPr>
        <w:tab/>
      </w:r>
    </w:p>
    <w:p w:rsidR="005A3112" w:rsidRDefault="005A3112" w:rsidP="007A7C9C">
      <w:pPr>
        <w:tabs>
          <w:tab w:val="left" w:pos="-3261"/>
        </w:tabs>
        <w:rPr>
          <w:sz w:val="22"/>
          <w:szCs w:val="22"/>
        </w:rPr>
      </w:pPr>
    </w:p>
    <w:p w:rsidR="00293836" w:rsidRDefault="00293836" w:rsidP="007A7C9C">
      <w:pPr>
        <w:tabs>
          <w:tab w:val="left" w:pos="-3261"/>
        </w:tabs>
        <w:rPr>
          <w:sz w:val="22"/>
          <w:szCs w:val="22"/>
        </w:rPr>
      </w:pPr>
    </w:p>
    <w:p w:rsidR="00C944C6" w:rsidRPr="00293836" w:rsidRDefault="00C944C6" w:rsidP="00C944C6">
      <w:pPr>
        <w:tabs>
          <w:tab w:val="left" w:pos="-3261"/>
        </w:tabs>
        <w:ind w:right="-41"/>
        <w:jc w:val="center"/>
        <w:rPr>
          <w:rStyle w:val="a4"/>
          <w:sz w:val="28"/>
          <w:szCs w:val="28"/>
          <w:lang w:val="bg-BG"/>
        </w:rPr>
      </w:pPr>
      <w:r w:rsidRPr="00293836">
        <w:rPr>
          <w:rStyle w:val="a4"/>
          <w:sz w:val="28"/>
          <w:szCs w:val="28"/>
          <w:lang w:val="bg-BG"/>
        </w:rPr>
        <w:t xml:space="preserve">ПЪЛНО ОПИСАНИЕ НА </w:t>
      </w:r>
      <w:r w:rsidR="002F6522" w:rsidRPr="00293836">
        <w:rPr>
          <w:rStyle w:val="a4"/>
          <w:sz w:val="28"/>
          <w:szCs w:val="28"/>
          <w:lang w:val="bg-BG"/>
        </w:rPr>
        <w:t>ПРЕДМЕТА</w:t>
      </w:r>
      <w:r w:rsidRPr="00293836">
        <w:rPr>
          <w:rStyle w:val="a4"/>
          <w:sz w:val="28"/>
          <w:szCs w:val="28"/>
          <w:lang w:val="bg-BG"/>
        </w:rPr>
        <w:t xml:space="preserve"> НА ПОРЪЧКАТА</w:t>
      </w:r>
    </w:p>
    <w:p w:rsidR="00C944C6" w:rsidRPr="00293836" w:rsidRDefault="00C944C6" w:rsidP="00C944C6">
      <w:pPr>
        <w:pStyle w:val="a5"/>
        <w:tabs>
          <w:tab w:val="left" w:pos="-3261"/>
        </w:tabs>
        <w:spacing w:before="0" w:after="0"/>
        <w:ind w:left="0" w:right="-41"/>
        <w:rPr>
          <w:sz w:val="22"/>
          <w:szCs w:val="22"/>
          <w:lang w:val="bg-BG"/>
        </w:rPr>
      </w:pPr>
    </w:p>
    <w:p w:rsidR="00C944C6" w:rsidRPr="00293836" w:rsidRDefault="00C944C6" w:rsidP="00C944C6">
      <w:pPr>
        <w:tabs>
          <w:tab w:val="left" w:pos="-3261"/>
        </w:tabs>
        <w:ind w:right="-41" w:firstLine="570"/>
        <w:jc w:val="both"/>
        <w:rPr>
          <w:sz w:val="22"/>
          <w:szCs w:val="22"/>
          <w:lang w:val="bg-BG"/>
        </w:rPr>
      </w:pPr>
    </w:p>
    <w:p w:rsidR="008A0EE8" w:rsidRPr="00293836" w:rsidRDefault="00C944C6" w:rsidP="00C944C6">
      <w:pPr>
        <w:tabs>
          <w:tab w:val="left" w:pos="-3261"/>
        </w:tabs>
        <w:ind w:right="-41" w:firstLine="570"/>
        <w:jc w:val="both"/>
        <w:rPr>
          <w:b/>
          <w:i/>
          <w:u w:val="single"/>
          <w:lang w:val="bg-BG"/>
        </w:rPr>
      </w:pPr>
      <w:r w:rsidRPr="00293836">
        <w:rPr>
          <w:lang w:val="bg-BG"/>
        </w:rPr>
        <w:t>Обект на обществената поръчка е „</w:t>
      </w:r>
      <w:r w:rsidR="008A0EE8" w:rsidRPr="00293836">
        <w:rPr>
          <w:lang w:val="bg-BG"/>
        </w:rPr>
        <w:t>строителство</w:t>
      </w:r>
      <w:r w:rsidRPr="00293836">
        <w:rPr>
          <w:lang w:val="bg-BG"/>
        </w:rPr>
        <w:t>”, с предмет „</w:t>
      </w:r>
      <w:r w:rsidR="008A0EE8" w:rsidRPr="00293836">
        <w:rPr>
          <w:b/>
          <w:i/>
          <w:u w:val="single"/>
          <w:lang w:val="bg-BG"/>
        </w:rPr>
        <w:t>Довършване изграждането на тристранен контактен център между Република България, Република Гърция и Република Турция на ГКПП - Капитан Андреево, област Хасково.</w:t>
      </w:r>
    </w:p>
    <w:p w:rsidR="008A0EE8" w:rsidRPr="00293836" w:rsidRDefault="008A0EE8" w:rsidP="004D4717">
      <w:pPr>
        <w:ind w:firstLine="570"/>
        <w:jc w:val="both"/>
        <w:rPr>
          <w:b/>
          <w:bCs/>
          <w:i/>
          <w:color w:val="000000"/>
          <w:lang w:val="bg-BG"/>
        </w:rPr>
      </w:pPr>
      <w:r w:rsidRPr="00293836">
        <w:rPr>
          <w:b/>
          <w:bCs/>
          <w:i/>
          <w:color w:val="000000"/>
          <w:u w:val="single"/>
          <w:lang w:val="bg-BG"/>
        </w:rPr>
        <w:t>Съществуващо положение:</w:t>
      </w:r>
      <w:r w:rsidRPr="00293836">
        <w:rPr>
          <w:b/>
          <w:bCs/>
          <w:i/>
          <w:color w:val="000000"/>
          <w:lang w:val="bg-BG"/>
        </w:rPr>
        <w:t xml:space="preserve"> </w:t>
      </w:r>
      <w:r w:rsidRPr="00293836">
        <w:rPr>
          <w:bCs/>
          <w:color w:val="000000"/>
          <w:lang w:val="bg-BG"/>
        </w:rPr>
        <w:t>Сграда №29 се намира в югоизточния край на имота на  ГКПП”Капитан Андреево”, в близост с границата с Турция. Представлява съществуваща стоманобетонова постройка на две надземни и едно подземно ниво /бивш безмитен валутен магазин/ и пристройка към нея без подземно ниво – метална конструкция. По-голямата част от пристройката е на две нива, а една нейна част към улицата е на едно ниво. Сградата е единно тяло,  образувано от старата и новата част с обща з</w:t>
      </w:r>
      <w:r w:rsidRPr="00293836">
        <w:rPr>
          <w:lang w:val="bg-BG"/>
        </w:rPr>
        <w:t>астроена площ 315 кв.м</w:t>
      </w:r>
      <w:r w:rsidRPr="00293836">
        <w:rPr>
          <w:bCs/>
          <w:color w:val="000000"/>
          <w:lang w:val="bg-BG"/>
        </w:rPr>
        <w:t>. Строежът е започнал законосъобразно със строителни книжа по обявена обществена поръчка. Изградена е новата пристройка в груб строеж и същата е покрита с покривни панели в двуетажната й част, а едноетажната е непокрита. Всички извършени СМР по новата и старата част на строежа са констатирани с Акт обр.10 за установяване състоянието на строежа при спиране на строителството. Съобразно описаните в Акт обр.10 строително - монтажни работи е изготвена от проектанта нова количествена сметка за оставащите СМР, необходими за завършване на строежа.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>Във времето на спиране на строежа поради проникване на дъждовна вода на  втория етаж на старата част напълно е компрометирана мазилката на тавана, както и вътрешната мазилка на външната южна стена в помещенията, която е почти изпадала. Повредена е и част от нова преградна стена от гипскартон. Подземното ниво на сградата е бил наводнено до 1,80м от пода, при което е било залято новото ел.табло, ел. контакта и водомерния възел в сутерена. Необходимо е ел.таблото и контакта да се изместят на безопасно място и да се почистят и измият пода и стените на сутерена. Тези СМР да се поемат от непредвидените разходи.</w:t>
      </w:r>
    </w:p>
    <w:p w:rsidR="008A0EE8" w:rsidRPr="00293836" w:rsidRDefault="008A0EE8" w:rsidP="004D4717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 xml:space="preserve"> Външните връзки на сграда №29 не са предмет на настоящия проект.</w:t>
      </w:r>
    </w:p>
    <w:p w:rsidR="00293836" w:rsidRDefault="00293836" w:rsidP="004D4717">
      <w:pPr>
        <w:ind w:firstLine="708"/>
        <w:jc w:val="both"/>
        <w:rPr>
          <w:b/>
          <w:bCs/>
          <w:i/>
          <w:color w:val="000000"/>
          <w:u w:val="single"/>
        </w:rPr>
      </w:pPr>
    </w:p>
    <w:p w:rsidR="008A0EE8" w:rsidRPr="00293836" w:rsidRDefault="008A0EE8" w:rsidP="00293836">
      <w:pPr>
        <w:jc w:val="both"/>
        <w:rPr>
          <w:b/>
          <w:bCs/>
          <w:i/>
          <w:color w:val="000000"/>
          <w:u w:val="single"/>
          <w:lang w:val="bg-BG"/>
        </w:rPr>
      </w:pPr>
      <w:r w:rsidRPr="00293836">
        <w:rPr>
          <w:b/>
          <w:bCs/>
          <w:i/>
          <w:color w:val="000000"/>
          <w:u w:val="single"/>
          <w:lang w:val="bg-BG"/>
        </w:rPr>
        <w:t>Изискванията по отношение на  количество и обем:</w:t>
      </w:r>
    </w:p>
    <w:p w:rsidR="008A0EE8" w:rsidRPr="00293836" w:rsidRDefault="008A0EE8" w:rsidP="004D4717">
      <w:pPr>
        <w:ind w:firstLine="708"/>
        <w:jc w:val="both"/>
        <w:rPr>
          <w:b/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>Строително монтажните работи, които е необходимо да се извършат от строителя, за да бъде завършен строежа с констативен акт по чл.176 от ЗУТ /образец 15/, са представени от проектантите в проектите и в съответните количествени сметки по съответните части.</w:t>
      </w:r>
    </w:p>
    <w:p w:rsidR="008A0EE8" w:rsidRPr="00293836" w:rsidRDefault="008A0EE8" w:rsidP="008A0EE8">
      <w:pPr>
        <w:jc w:val="both"/>
        <w:rPr>
          <w:b/>
          <w:bCs/>
          <w:color w:val="000000"/>
          <w:lang w:val="bg-BG"/>
        </w:rPr>
      </w:pPr>
      <w:r w:rsidRPr="00293836">
        <w:rPr>
          <w:b/>
          <w:bCs/>
          <w:color w:val="000000"/>
          <w:lang w:val="bg-BG"/>
        </w:rPr>
        <w:t>Част Архитектурна:</w:t>
      </w:r>
    </w:p>
    <w:p w:rsidR="008A0EE8" w:rsidRPr="00293836" w:rsidRDefault="008A0EE8" w:rsidP="008A0EE8">
      <w:pPr>
        <w:ind w:firstLine="708"/>
        <w:jc w:val="both"/>
        <w:rPr>
          <w:b/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 xml:space="preserve">Предмет на поръчката са </w:t>
      </w:r>
      <w:r w:rsidRPr="00293836">
        <w:rPr>
          <w:b/>
          <w:bCs/>
          <w:color w:val="000000"/>
          <w:lang w:val="bg-BG"/>
        </w:rPr>
        <w:t>ненаправените части от предвидените по проект СМР по част архитектурна,</w:t>
      </w:r>
      <w:r w:rsidRPr="00293836">
        <w:rPr>
          <w:bCs/>
          <w:color w:val="000000"/>
          <w:lang w:val="bg-BG"/>
        </w:rPr>
        <w:t xml:space="preserve"> </w:t>
      </w:r>
      <w:r w:rsidRPr="00293836">
        <w:rPr>
          <w:b/>
          <w:bCs/>
          <w:color w:val="000000"/>
          <w:lang w:val="bg-BG"/>
        </w:rPr>
        <w:t xml:space="preserve">посочени в количествената сметка, както и СМР следствие посочените в т.ІІ поражения поради престоя, които са в непредвидените разходи. 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 xml:space="preserve">Съгласно одобрения технически проект на първия етаж са разположени входно и разпределително фоайе, заседателна зала с 20 места, гардероб, бокс-офис, три офиса за координатори, един голям офис за оперативно-дежурна част с девет работни места и санитарен блок. На втория етаж са разположени: три офиса за съхранение на явни документи; три помещения с по две работни места за секретариат и специфична справочна дейност и помещение за комуникационни шкафове;  санитарен възел, малък склад и помещение за отдих и хранене. Главният вход е от север, а от изток е проектиран втори допълнителен вход. В съществуващата част на сградата се предвижда подмяна на дограма и витрини, реконструкция на запазващите се стени, подове и тавани, префасадиране и топлоизолиране на външните стени. 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 xml:space="preserve">Покривът е плосък. По одобрен проект за старата част е предвиден ново покритие с прослоен монтаж от  ЛТ ламарина, над която се полага топло и хидроизолация, а за новата част – галванизирана ламарина, топлоизолация и хидроизолация, като проектантът е приел, че едностранния наклон на съществуващия покрив е постигнат с лека метална конструкция. При </w:t>
      </w:r>
      <w:r w:rsidRPr="00293836">
        <w:rPr>
          <w:bCs/>
          <w:color w:val="000000"/>
          <w:lang w:val="bg-BG"/>
        </w:rPr>
        <w:lastRenderedPageBreak/>
        <w:t>разкриване на покрива се оказа, че тази лека конструкция е от дърво, негодна е и трябва да се премахне. Със заповед на проектанта е предписано покривно покритие на цялата сграда да се замени с покривни самоносещи се изолационни сандвич-панели, двустранно облицовани с метални листове с дебелина 120мм, ТТОР(12) МW, във връзка с което за старата част е предписано да се направи нова лека конструкция за наклон от метални профили за монтажа на тези панели. С настоящата поръчка е необходимо да се монтира новата лека метална конструкция за наклон, както и да се монтират покривните панели на старата част и на едноетажното тяло на новата част.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>Фасадата е единна за двете части на сградата и е с фиброциментови плочи, термопанели, окачена фасада.</w:t>
      </w:r>
      <w:r w:rsidRPr="00293836">
        <w:rPr>
          <w:bCs/>
          <w:i/>
          <w:color w:val="000000"/>
          <w:lang w:val="bg-BG"/>
        </w:rPr>
        <w:t xml:space="preserve"> </w:t>
      </w:r>
      <w:r w:rsidRPr="00293836">
        <w:rPr>
          <w:bCs/>
          <w:color w:val="000000"/>
          <w:lang w:val="bg-BG"/>
        </w:rPr>
        <w:t>Довършителните работи по всички части на техническия проект са за цялата сграда, състояща се от старата и новата част.</w:t>
      </w:r>
    </w:p>
    <w:p w:rsidR="008A0EE8" w:rsidRPr="00293836" w:rsidRDefault="008A0EE8" w:rsidP="008A0EE8">
      <w:pPr>
        <w:jc w:val="both"/>
        <w:rPr>
          <w:b/>
          <w:bCs/>
          <w:color w:val="000000"/>
          <w:lang w:val="bg-BG"/>
        </w:rPr>
      </w:pPr>
    </w:p>
    <w:p w:rsidR="008A0EE8" w:rsidRPr="00293836" w:rsidRDefault="008A0EE8" w:rsidP="008A0EE8">
      <w:pPr>
        <w:jc w:val="both"/>
        <w:rPr>
          <w:b/>
          <w:bCs/>
          <w:color w:val="000000"/>
          <w:lang w:val="bg-BG"/>
        </w:rPr>
      </w:pPr>
      <w:r w:rsidRPr="00293836">
        <w:rPr>
          <w:b/>
          <w:bCs/>
          <w:color w:val="000000"/>
          <w:lang w:val="bg-BG"/>
        </w:rPr>
        <w:t>Част Конструктивна:</w:t>
      </w:r>
    </w:p>
    <w:p w:rsidR="008A0EE8" w:rsidRPr="00293836" w:rsidRDefault="008A0EE8" w:rsidP="008A0EE8">
      <w:pPr>
        <w:ind w:firstLine="360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 xml:space="preserve">Видовете </w:t>
      </w:r>
      <w:r w:rsidRPr="00293836">
        <w:rPr>
          <w:b/>
          <w:bCs/>
          <w:color w:val="000000"/>
          <w:lang w:val="bg-BG"/>
        </w:rPr>
        <w:t>СМР по част конструктивна, които са останали за изпълнение</w:t>
      </w:r>
      <w:r w:rsidRPr="00293836">
        <w:rPr>
          <w:bCs/>
          <w:color w:val="000000"/>
          <w:lang w:val="bg-BG"/>
        </w:rPr>
        <w:t xml:space="preserve"> са:</w:t>
      </w:r>
    </w:p>
    <w:p w:rsidR="008A0EE8" w:rsidRPr="00293836" w:rsidRDefault="008A0EE8" w:rsidP="008A0EE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93836">
        <w:rPr>
          <w:rFonts w:ascii="Times New Roman" w:hAnsi="Times New Roman"/>
          <w:bCs/>
          <w:color w:val="000000"/>
          <w:sz w:val="24"/>
          <w:szCs w:val="24"/>
        </w:rPr>
        <w:t>СМР за леката метална конструкция за наклон на покрива на старата част на сградата;</w:t>
      </w:r>
    </w:p>
    <w:p w:rsidR="008A0EE8" w:rsidRPr="00293836" w:rsidRDefault="008A0EE8" w:rsidP="008A0EE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93836">
        <w:rPr>
          <w:rFonts w:ascii="Times New Roman" w:hAnsi="Times New Roman"/>
          <w:bCs/>
          <w:color w:val="000000"/>
          <w:sz w:val="24"/>
          <w:szCs w:val="24"/>
        </w:rPr>
        <w:t xml:space="preserve">Допълнителни работи във връзка с работното проектиране / покривни столици, стомана за водачи за фасадни панели и дограми, стомана за оформление, изравнителна сметка за замяната на LT ламарината с покривни панели /. </w:t>
      </w:r>
    </w:p>
    <w:p w:rsidR="008A0EE8" w:rsidRPr="00293836" w:rsidRDefault="008A0EE8" w:rsidP="008A0EE8">
      <w:pPr>
        <w:jc w:val="both"/>
        <w:rPr>
          <w:b/>
          <w:bCs/>
          <w:color w:val="000000"/>
          <w:lang w:val="bg-BG"/>
        </w:rPr>
      </w:pPr>
    </w:p>
    <w:p w:rsidR="008A0EE8" w:rsidRPr="00293836" w:rsidRDefault="008A0EE8" w:rsidP="008A0EE8">
      <w:pPr>
        <w:jc w:val="both"/>
        <w:rPr>
          <w:b/>
          <w:bCs/>
          <w:color w:val="000000"/>
          <w:lang w:val="bg-BG"/>
        </w:rPr>
      </w:pPr>
      <w:r w:rsidRPr="00293836">
        <w:rPr>
          <w:b/>
          <w:bCs/>
          <w:color w:val="000000"/>
          <w:lang w:val="bg-BG"/>
        </w:rPr>
        <w:t xml:space="preserve">Част ВиК: 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 xml:space="preserve">Предмет на настоящата поръчка са </w:t>
      </w:r>
      <w:r w:rsidRPr="00293836">
        <w:rPr>
          <w:b/>
          <w:bCs/>
          <w:color w:val="000000"/>
          <w:lang w:val="bg-BG"/>
        </w:rPr>
        <w:t>ненаправените части от предвидените по проект</w:t>
      </w:r>
      <w:r w:rsidRPr="00293836">
        <w:rPr>
          <w:bCs/>
          <w:color w:val="000000"/>
          <w:lang w:val="bg-BG"/>
        </w:rPr>
        <w:t xml:space="preserve"> </w:t>
      </w:r>
      <w:r w:rsidRPr="00293836">
        <w:rPr>
          <w:b/>
          <w:bCs/>
          <w:color w:val="000000"/>
          <w:lang w:val="bg-BG"/>
        </w:rPr>
        <w:t>вътрешни водопроводна и канализационна инсталации</w:t>
      </w:r>
      <w:r w:rsidRPr="00293836">
        <w:rPr>
          <w:bCs/>
          <w:color w:val="000000"/>
          <w:lang w:val="bg-BG"/>
        </w:rPr>
        <w:t xml:space="preserve"> и</w:t>
      </w:r>
      <w:r w:rsidRPr="00293836">
        <w:rPr>
          <w:b/>
          <w:bCs/>
          <w:color w:val="000000"/>
          <w:lang w:val="bg-BG"/>
        </w:rPr>
        <w:t xml:space="preserve"> </w:t>
      </w:r>
      <w:r w:rsidRPr="00293836">
        <w:rPr>
          <w:bCs/>
          <w:color w:val="000000"/>
          <w:lang w:val="bg-BG"/>
        </w:rPr>
        <w:t>са посочени в</w:t>
      </w:r>
      <w:r w:rsidRPr="00293836">
        <w:rPr>
          <w:b/>
          <w:bCs/>
          <w:color w:val="000000"/>
          <w:lang w:val="bg-BG"/>
        </w:rPr>
        <w:t xml:space="preserve"> </w:t>
      </w:r>
      <w:r w:rsidRPr="00293836">
        <w:rPr>
          <w:bCs/>
          <w:color w:val="000000"/>
          <w:lang w:val="bg-BG"/>
        </w:rPr>
        <w:t>количествената сметка</w:t>
      </w:r>
      <w:r w:rsidRPr="00293836">
        <w:rPr>
          <w:b/>
          <w:bCs/>
          <w:color w:val="000000"/>
          <w:lang w:val="bg-BG"/>
        </w:rPr>
        <w:t>.</w:t>
      </w:r>
      <w:r w:rsidRPr="00293836">
        <w:rPr>
          <w:bCs/>
          <w:color w:val="000000"/>
          <w:lang w:val="bg-BG"/>
        </w:rPr>
        <w:t xml:space="preserve"> 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>Включването на сградните водопроводно и канализационно отклонения към площадковата мрежа са предмет на отделен проект за външните ВиК мрежи на целия граничен пункт .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>Водопроводна инсталация:  Тя е битова от клас Ф4 за обекти за обществено обслужване и социални дейности. Ще бъде изградена от полипропилениви тръби и фитинги с алуминиева вложка. Разпределителната мрежа минава открита, а тръбите ще бъдат изолирани с подходяща изолация, в зависимост дали минават по външни или по вътрешни стени. Инсталацията  е разклонена с долно разпределение. Вертикалните клонове се монтират открити, като в последствие ще се скрият по архитектурен детайл. Хоризонталните тръби по етажите минават вкопано в стените. Височината на санитарните арматури от кота готов под са: батериите на стоящи мивки в кухня и тоалетна – 0,85м; батерия за душ – 0,80м; отклонение за миялна машина – 0,70м; СК към ниско клозетно казанче – 0,65см.</w:t>
      </w:r>
    </w:p>
    <w:p w:rsidR="008A0EE8" w:rsidRPr="00293836" w:rsidRDefault="008A0EE8" w:rsidP="008A0EE8">
      <w:pPr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>На входа е монтиран контролен водомерен възел за студена вода. Топла вода ще се осигурява от два индивидуални бойлера.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 xml:space="preserve">Сградни водопроводни инсталации за пожарогасене не са проектирани. 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>Водовръзката е от полиетиленова тръба висока плътност Ф32.</w:t>
      </w:r>
    </w:p>
    <w:p w:rsidR="008A0EE8" w:rsidRPr="00293836" w:rsidRDefault="008A0EE8" w:rsidP="008A0EE8">
      <w:pPr>
        <w:tabs>
          <w:tab w:val="left" w:pos="-5130"/>
        </w:tabs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ab/>
        <w:t>Канализационна инсталация: Инсталацията вътре в сградата е разделна – битова и дъждовна. Битовата е от PVC тръби. Отводняване имат всички санитарни прибори в сградата. Предвидени са подови сифони в санитарните възли и в подземния етаж. Вертикалните канализационни клонове са в инсталационни коруби и по тях са предвидени ревизионни парчета. Всички етажни разводки, освен кухненските мивки и клозетите са скрити в настилката. Хоризонталната канализационна инсталация  е вкопана и на всички чупки се предвиждат ревизионни шахти. Битовото водно количество е насочено посредством гравитачни канали на СКО за битови отпадни води, което е Ф160.</w:t>
      </w:r>
    </w:p>
    <w:p w:rsidR="008A0EE8" w:rsidRPr="00293836" w:rsidRDefault="008A0EE8" w:rsidP="004D4717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>Покривът на съществуващата сграда е отводнен с външни водосточни тръби по терена, а този на новата пристройка се отводнява с вакуумни водопремници и тръби. Дъждовното водно количество от сградата е насочено посредством гравитачни канали на СКО, което е Ф160.</w:t>
      </w:r>
    </w:p>
    <w:p w:rsidR="00293836" w:rsidRPr="00293836" w:rsidRDefault="00293836" w:rsidP="008A0EE8">
      <w:pPr>
        <w:jc w:val="both"/>
        <w:rPr>
          <w:b/>
          <w:bCs/>
          <w:color w:val="000000"/>
        </w:rPr>
      </w:pPr>
    </w:p>
    <w:p w:rsidR="008A0EE8" w:rsidRPr="00293836" w:rsidRDefault="008A0EE8" w:rsidP="008A0EE8">
      <w:pPr>
        <w:jc w:val="both"/>
        <w:rPr>
          <w:b/>
          <w:bCs/>
          <w:color w:val="000000"/>
          <w:lang w:val="bg-BG"/>
        </w:rPr>
      </w:pPr>
      <w:r w:rsidRPr="00293836">
        <w:rPr>
          <w:b/>
          <w:bCs/>
          <w:color w:val="000000"/>
          <w:lang w:val="bg-BG"/>
        </w:rPr>
        <w:t xml:space="preserve">Част електро: 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 xml:space="preserve">Предмет на настоящата поръчка </w:t>
      </w:r>
      <w:r w:rsidRPr="00293836">
        <w:rPr>
          <w:b/>
          <w:bCs/>
          <w:color w:val="000000"/>
          <w:lang w:val="bg-BG"/>
        </w:rPr>
        <w:t>са ненаправените части от предвидената по проект</w:t>
      </w:r>
      <w:r w:rsidRPr="00293836">
        <w:rPr>
          <w:bCs/>
          <w:color w:val="000000"/>
          <w:lang w:val="bg-BG"/>
        </w:rPr>
        <w:t xml:space="preserve"> </w:t>
      </w:r>
      <w:r w:rsidRPr="00293836">
        <w:rPr>
          <w:b/>
          <w:bCs/>
          <w:color w:val="000000"/>
          <w:lang w:val="bg-BG"/>
        </w:rPr>
        <w:t xml:space="preserve">сградна ел.инсталация </w:t>
      </w:r>
      <w:r w:rsidRPr="00293836">
        <w:rPr>
          <w:bCs/>
          <w:color w:val="000000"/>
          <w:lang w:val="bg-BG"/>
        </w:rPr>
        <w:t>и</w:t>
      </w:r>
      <w:r w:rsidRPr="00293836">
        <w:rPr>
          <w:b/>
          <w:bCs/>
          <w:color w:val="000000"/>
          <w:lang w:val="bg-BG"/>
        </w:rPr>
        <w:t xml:space="preserve"> </w:t>
      </w:r>
      <w:r w:rsidRPr="00293836">
        <w:rPr>
          <w:bCs/>
          <w:color w:val="000000"/>
          <w:lang w:val="bg-BG"/>
        </w:rPr>
        <w:t>са посочени в</w:t>
      </w:r>
      <w:r w:rsidRPr="00293836">
        <w:rPr>
          <w:b/>
          <w:bCs/>
          <w:color w:val="000000"/>
          <w:lang w:val="bg-BG"/>
        </w:rPr>
        <w:t xml:space="preserve"> </w:t>
      </w:r>
      <w:r w:rsidRPr="00293836">
        <w:rPr>
          <w:bCs/>
          <w:color w:val="000000"/>
          <w:lang w:val="bg-BG"/>
        </w:rPr>
        <w:t xml:space="preserve">количествената сметка, </w:t>
      </w:r>
      <w:r w:rsidRPr="00293836">
        <w:rPr>
          <w:b/>
          <w:bCs/>
          <w:color w:val="000000"/>
          <w:lang w:val="bg-BG"/>
        </w:rPr>
        <w:t xml:space="preserve">както и изместване на ел. </w:t>
      </w:r>
      <w:r w:rsidRPr="00293836">
        <w:rPr>
          <w:b/>
          <w:bCs/>
          <w:color w:val="000000"/>
          <w:lang w:val="bg-BG"/>
        </w:rPr>
        <w:lastRenderedPageBreak/>
        <w:t>табло и ел.контакт в сутерена на безопасно от заливане място, които са в непредвидените разходи.</w:t>
      </w:r>
      <w:r w:rsidRPr="00293836">
        <w:rPr>
          <w:bCs/>
          <w:color w:val="000000"/>
          <w:lang w:val="bg-BG"/>
        </w:rPr>
        <w:t xml:space="preserve"> 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>Сградата</w:t>
      </w:r>
      <w:r w:rsidRPr="00293836">
        <w:rPr>
          <w:b/>
          <w:bCs/>
          <w:color w:val="000000"/>
          <w:lang w:val="bg-BG"/>
        </w:rPr>
        <w:t xml:space="preserve"> </w:t>
      </w:r>
      <w:r w:rsidRPr="00293836">
        <w:rPr>
          <w:bCs/>
          <w:color w:val="000000"/>
          <w:lang w:val="bg-BG"/>
        </w:rPr>
        <w:t xml:space="preserve">е самостоятелен електро консуматор, но е неразделна част от площадката и всички останали сгради на граничния пункт, цялостно определяни към първа категория по сигурност на електрозахранване. Сградата се захранва от площадкова електроразпределителна касета с мрежа ниско напрежение и мерене на ел.енергията с контролен електромер, монтиран в локалното табло на сграда №29. 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>Сградните ел.инсталации, описани подробно в одобрения проект са:</w:t>
      </w:r>
    </w:p>
    <w:p w:rsidR="008A0EE8" w:rsidRPr="00293836" w:rsidRDefault="008A0EE8" w:rsidP="008A0EE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93836">
        <w:rPr>
          <w:rFonts w:ascii="Times New Roman" w:hAnsi="Times New Roman"/>
          <w:bCs/>
          <w:color w:val="000000"/>
          <w:sz w:val="24"/>
          <w:szCs w:val="24"/>
        </w:rPr>
        <w:t>Главно разпределително и етажни ел.табла и захранващи линии ниско напрежение;</w:t>
      </w:r>
    </w:p>
    <w:p w:rsidR="008A0EE8" w:rsidRPr="00293836" w:rsidRDefault="008A0EE8" w:rsidP="008A0EE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93836">
        <w:rPr>
          <w:rFonts w:ascii="Times New Roman" w:hAnsi="Times New Roman"/>
          <w:bCs/>
          <w:color w:val="000000"/>
          <w:sz w:val="24"/>
          <w:szCs w:val="24"/>
        </w:rPr>
        <w:t>Осветление – работно и дежурно, осветителна инсталация;</w:t>
      </w:r>
    </w:p>
    <w:p w:rsidR="008A0EE8" w:rsidRPr="00293836" w:rsidRDefault="008A0EE8" w:rsidP="008A0EE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93836">
        <w:rPr>
          <w:rFonts w:ascii="Times New Roman" w:hAnsi="Times New Roman"/>
          <w:bCs/>
          <w:color w:val="000000"/>
          <w:sz w:val="24"/>
          <w:szCs w:val="24"/>
        </w:rPr>
        <w:t>Аварийно и евакуационно осветление, инсталация;</w:t>
      </w:r>
    </w:p>
    <w:p w:rsidR="008A0EE8" w:rsidRPr="00293836" w:rsidRDefault="008A0EE8" w:rsidP="008A0EE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93836">
        <w:rPr>
          <w:rFonts w:ascii="Times New Roman" w:hAnsi="Times New Roman"/>
          <w:bCs/>
          <w:color w:val="000000"/>
          <w:sz w:val="24"/>
          <w:szCs w:val="24"/>
        </w:rPr>
        <w:t>Инсталация контакти;</w:t>
      </w:r>
    </w:p>
    <w:p w:rsidR="008A0EE8" w:rsidRPr="00293836" w:rsidRDefault="008A0EE8" w:rsidP="008A0EE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93836">
        <w:rPr>
          <w:rFonts w:ascii="Times New Roman" w:hAnsi="Times New Roman"/>
          <w:bCs/>
          <w:color w:val="000000"/>
          <w:sz w:val="24"/>
          <w:szCs w:val="24"/>
        </w:rPr>
        <w:t>Електро захранване технологични ОВК и ВиК консуматори;</w:t>
      </w:r>
    </w:p>
    <w:p w:rsidR="008A0EE8" w:rsidRPr="00293836" w:rsidRDefault="008A0EE8" w:rsidP="008A0EE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93836">
        <w:rPr>
          <w:rFonts w:ascii="Times New Roman" w:hAnsi="Times New Roman"/>
          <w:bCs/>
          <w:color w:val="000000"/>
          <w:sz w:val="24"/>
          <w:szCs w:val="24"/>
        </w:rPr>
        <w:t>Слаботокови инсталации – телефонна и компютърна;</w:t>
      </w:r>
    </w:p>
    <w:p w:rsidR="008A0EE8" w:rsidRPr="00293836" w:rsidRDefault="008A0EE8" w:rsidP="008A0EE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93836">
        <w:rPr>
          <w:rFonts w:ascii="Times New Roman" w:hAnsi="Times New Roman"/>
          <w:bCs/>
          <w:color w:val="000000"/>
          <w:sz w:val="24"/>
          <w:szCs w:val="24"/>
        </w:rPr>
        <w:t>Оповестяване;</w:t>
      </w:r>
    </w:p>
    <w:p w:rsidR="008A0EE8" w:rsidRPr="00293836" w:rsidRDefault="008A0EE8" w:rsidP="008A0EE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93836">
        <w:rPr>
          <w:rFonts w:ascii="Times New Roman" w:hAnsi="Times New Roman"/>
          <w:bCs/>
          <w:color w:val="000000"/>
          <w:sz w:val="24"/>
          <w:szCs w:val="24"/>
        </w:rPr>
        <w:t>Мълниезащита и заземление;</w:t>
      </w:r>
    </w:p>
    <w:p w:rsidR="008A0EE8" w:rsidRPr="00293836" w:rsidRDefault="008A0EE8" w:rsidP="008A0EE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93836">
        <w:rPr>
          <w:rFonts w:ascii="Times New Roman" w:hAnsi="Times New Roman"/>
          <w:bCs/>
          <w:color w:val="000000"/>
          <w:sz w:val="24"/>
          <w:szCs w:val="24"/>
        </w:rPr>
        <w:t>Пожароизвестяване;</w:t>
      </w:r>
    </w:p>
    <w:p w:rsidR="008A0EE8" w:rsidRPr="00293836" w:rsidRDefault="008A0EE8" w:rsidP="008A0EE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93836">
        <w:rPr>
          <w:rFonts w:ascii="Times New Roman" w:hAnsi="Times New Roman"/>
          <w:bCs/>
          <w:color w:val="000000"/>
          <w:sz w:val="24"/>
          <w:szCs w:val="24"/>
        </w:rPr>
        <w:t>Сигнално охранителна и контрол на достъп;</w:t>
      </w:r>
    </w:p>
    <w:p w:rsidR="008A0EE8" w:rsidRPr="00293836" w:rsidRDefault="008A0EE8" w:rsidP="008A0EE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93836">
        <w:rPr>
          <w:rFonts w:ascii="Times New Roman" w:hAnsi="Times New Roman"/>
          <w:bCs/>
          <w:color w:val="000000"/>
          <w:sz w:val="24"/>
          <w:szCs w:val="24"/>
        </w:rPr>
        <w:t>Видеонаблюдение.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>В сградата условно са третирани три зони – отнасящи се към трите основни съседни държави – България, Гърция и Турция, разпределени по етажи. Всяко от помещенията, ползвани от съответната държава се локализира в инсталационно отношение на комуникационните си мрежи, но се включва към обща силнотокова ел.инсталация и ел.табла,подсигурени с необходимия резерв.</w:t>
      </w:r>
    </w:p>
    <w:p w:rsidR="008A0EE8" w:rsidRPr="00293836" w:rsidRDefault="008A0EE8" w:rsidP="008A0EE8">
      <w:pPr>
        <w:jc w:val="both"/>
        <w:rPr>
          <w:b/>
          <w:bCs/>
          <w:color w:val="000000"/>
          <w:lang w:val="bg-BG"/>
        </w:rPr>
      </w:pPr>
    </w:p>
    <w:p w:rsidR="008A0EE8" w:rsidRPr="00293836" w:rsidRDefault="008A0EE8" w:rsidP="008A0EE8">
      <w:pPr>
        <w:jc w:val="both"/>
        <w:rPr>
          <w:b/>
          <w:bCs/>
          <w:color w:val="000000"/>
          <w:lang w:val="bg-BG"/>
        </w:rPr>
      </w:pPr>
      <w:r w:rsidRPr="00293836">
        <w:rPr>
          <w:b/>
          <w:bCs/>
          <w:color w:val="000000"/>
          <w:lang w:val="bg-BG"/>
        </w:rPr>
        <w:t xml:space="preserve">Част ОВК: 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 xml:space="preserve">Предмет на настоящата поръчка са </w:t>
      </w:r>
      <w:r w:rsidRPr="00293836">
        <w:rPr>
          <w:b/>
          <w:bCs/>
          <w:color w:val="000000"/>
          <w:lang w:val="bg-BG"/>
        </w:rPr>
        <w:t>всички  СМР по част ОВК, предвидени по проект</w:t>
      </w:r>
      <w:r w:rsidRPr="00293836">
        <w:rPr>
          <w:bCs/>
          <w:color w:val="000000"/>
          <w:lang w:val="bg-BG"/>
        </w:rPr>
        <w:t xml:space="preserve">. 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>Новата част на сградата на тристранния контактен център е с фасадни термопанели, а старата - с тополизолирани тухлени и бетонни стени, плоския покрив е с покривни панели. Прозорците са от алуминиева дограма с прекъснат термомост.</w:t>
      </w:r>
    </w:p>
    <w:p w:rsidR="008A0EE8" w:rsidRPr="00293836" w:rsidRDefault="008A0EE8" w:rsidP="008A0EE8">
      <w:pPr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>Климатична инсталация: Предвидена е климатична инсталация тип VRV, която представлява термопомпена система на директно изпарение с променливо количество на хладилния агрегат. Това е мулти-сплит режим на работа, при който няколко вътрешни тела са свързани с едно външно. Въздушноохлаждаемия компресорно- кондензаторен агрегат ще се монтира на покрива над стълбищната клетка върху виброустойчива рама и гумени тампони. За вътрешните тела се използват таванни 2-пътни касети, както и вентилаторни конвектори за скрит таванен монтаж с пленуми, решетки и гъвкави въздуховоди. Връзката между отделните елементи на системата се осъществява чрез медни тръби, монтирани в окачения таван. Тръбите са изолирани с топлоизолационен, труднозапалим материал, покрит с алуминиево фолио. Отвеждането на кондензата е дадено във ВиК проекта, а окабеляването и КИПиА– в ел.проекта. Отопляването на спомагателните помещения става с ел.конвекторни радиатори за стенен монтаж.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>Вентилационна инсталация: В залата и фоайето се проектира механична нагнетателно-смукателна вентилация. Рекуператорния вентилационен блок ще се монтира над окачения таван на санитарните възли. Той е комплектован с джобни филтри и центробежни двойносмучещи вентилатори. Допълнителното подгряване /охлаждане на пресния въздух става на секции, монтирани на нагнетателния въздуховод и свързани с външното тяло на системата. Нагнетяването и изсмукването на въздуха в залата и фоайето става на кота +4,30м. Пресният необработен въздух се засмуква от южната фасада на сградата, а отработения се изхвърля над покрива. Всички въздуховоди, включително за пресен въздух  се изолират топлинно.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>За складовете е проектирана механична смукателна инсталация с двукратен обмен на въздуха. Санитарните възли се проветряват посредством канален вентилатор и конусни смукатели, заустени към общ въздуховод от поцинкована ламарина, изведен над покрива. Компенсацията става от коридора през трансферни решетки в долната част на вратите.</w:t>
      </w:r>
    </w:p>
    <w:p w:rsidR="008A0EE8" w:rsidRPr="00293836" w:rsidRDefault="008A0EE8" w:rsidP="008A0EE8">
      <w:pPr>
        <w:jc w:val="both"/>
        <w:rPr>
          <w:b/>
          <w:bCs/>
          <w:color w:val="000000"/>
          <w:lang w:val="bg-BG"/>
        </w:rPr>
      </w:pPr>
    </w:p>
    <w:p w:rsidR="00C07508" w:rsidRDefault="00C07508" w:rsidP="008A0EE8">
      <w:pPr>
        <w:jc w:val="both"/>
        <w:rPr>
          <w:b/>
          <w:bCs/>
          <w:color w:val="000000"/>
        </w:rPr>
      </w:pPr>
    </w:p>
    <w:p w:rsidR="008A0EE8" w:rsidRPr="00293836" w:rsidRDefault="008A0EE8" w:rsidP="008A0EE8">
      <w:pPr>
        <w:jc w:val="both"/>
        <w:rPr>
          <w:b/>
          <w:bCs/>
          <w:color w:val="000000"/>
          <w:lang w:val="bg-BG"/>
        </w:rPr>
      </w:pPr>
      <w:bookmarkStart w:id="0" w:name="_GoBack"/>
      <w:bookmarkEnd w:id="0"/>
      <w:r w:rsidRPr="00293836">
        <w:rPr>
          <w:b/>
          <w:bCs/>
          <w:color w:val="000000"/>
          <w:lang w:val="bg-BG"/>
        </w:rPr>
        <w:lastRenderedPageBreak/>
        <w:t>Част геодезия:</w:t>
      </w:r>
    </w:p>
    <w:p w:rsidR="008A0EE8" w:rsidRPr="00293836" w:rsidRDefault="008A0EE8" w:rsidP="004D4717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>Теренът около сграда №29 е равнинен със среден наклон до 2%. Кота 0,00  на сградата е 46,23м, а най високата точка на терена ще бъде с кота 45,78м, т.е. с 45см по-ниска от кота нула на сградата. Това налага построяването в източната част на стълбище с три стъпала за преодоляване на денивелацията. За изходни репери да се използват  РТ 7 с кота 46,229 и РТ 14 с кота 45,585 в Балтийска височинна система.</w:t>
      </w:r>
    </w:p>
    <w:p w:rsidR="008A0EE8" w:rsidRPr="00293836" w:rsidRDefault="008A0EE8" w:rsidP="008A0EE8">
      <w:pPr>
        <w:pStyle w:val="CharCharCharCharChar"/>
        <w:tabs>
          <w:tab w:val="clear" w:pos="709"/>
          <w:tab w:val="clear" w:pos="1260"/>
        </w:tabs>
        <w:spacing w:after="0"/>
        <w:ind w:firstLine="708"/>
        <w:rPr>
          <w:rFonts w:ascii="Times New Roman" w:hAnsi="Times New Roman"/>
          <w:lang w:val="bg-BG"/>
        </w:rPr>
      </w:pPr>
      <w:r w:rsidRPr="00293836">
        <w:rPr>
          <w:rFonts w:ascii="Times New Roman" w:hAnsi="Times New Roman"/>
          <w:lang w:val="bg-BG"/>
        </w:rPr>
        <w:t>Всички количествата, ко</w:t>
      </w:r>
      <w:r w:rsidR="004D4717" w:rsidRPr="00293836">
        <w:rPr>
          <w:rFonts w:ascii="Times New Roman" w:hAnsi="Times New Roman"/>
          <w:lang w:val="bg-BG"/>
        </w:rPr>
        <w:t>и</w:t>
      </w:r>
      <w:r w:rsidRPr="00293836">
        <w:rPr>
          <w:rFonts w:ascii="Times New Roman" w:hAnsi="Times New Roman"/>
          <w:lang w:val="bg-BG"/>
        </w:rPr>
        <w:t>то следва да се изпълнят са подробно описани в приложените количествени сметки.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>Сграда 29 е част от рехабилитация, ремонт и модернизация на целия ГКПП”Капитан Андреево” и нейното изграждане е съобразено с работата на общата строителна площадка. Предвид общото строителство,  План за безопасност и здраве</w:t>
      </w:r>
      <w:r w:rsidRPr="00293836">
        <w:rPr>
          <w:b/>
          <w:bCs/>
          <w:color w:val="000000"/>
          <w:lang w:val="bg-BG"/>
        </w:rPr>
        <w:t xml:space="preserve"> </w:t>
      </w:r>
      <w:r w:rsidRPr="00293836">
        <w:rPr>
          <w:bCs/>
          <w:color w:val="000000"/>
          <w:lang w:val="bg-BG"/>
        </w:rPr>
        <w:t>е разработен за изграждането на целия комплекс. Папката с одобрения ПБЗ се намира на територията на граничния пункт, в офиса на главния изпълнител „ПОНССТРОЙИНЖЕНЕРИНГ” ЕАД.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 xml:space="preserve">Организацията на строителната площадка трябва да се съгласува и действията да се координират с другите лица, извършващи дейности във връзка с цялостната реконструкция на ГКПП”Капитан Андреево”, както и при необходимост с контролните органи на пункта. </w:t>
      </w:r>
    </w:p>
    <w:p w:rsidR="008A0EE8" w:rsidRPr="00293836" w:rsidRDefault="008A0EE8" w:rsidP="008A0EE8">
      <w:pPr>
        <w:ind w:firstLine="708"/>
        <w:jc w:val="both"/>
        <w:rPr>
          <w:bCs/>
          <w:color w:val="000000"/>
          <w:lang w:val="bg-BG"/>
        </w:rPr>
      </w:pPr>
      <w:r w:rsidRPr="00293836">
        <w:rPr>
          <w:bCs/>
          <w:color w:val="000000"/>
          <w:lang w:val="bg-BG"/>
        </w:rPr>
        <w:t>Предвид, че строежът е на територия със специален пропускателен режим, е необходимо списъка на работниците и техническите лица, които ще работят на строежа предварително да се представи на Гранична полиция за осигуряването на пропуски.</w:t>
      </w:r>
    </w:p>
    <w:p w:rsidR="004D4717" w:rsidRPr="00293836" w:rsidRDefault="004D4717" w:rsidP="004D4717">
      <w:pPr>
        <w:ind w:firstLine="480"/>
        <w:jc w:val="both"/>
        <w:rPr>
          <w:lang w:val="bg-BG"/>
        </w:rPr>
      </w:pPr>
      <w:r w:rsidRPr="00293836">
        <w:rPr>
          <w:lang w:val="bg-BG"/>
        </w:rPr>
        <w:t>Изпълнителят е длъжен сам и за своя сметка да осигурява през времетраенето на изпълнението на предмета на поръчката:</w:t>
      </w:r>
    </w:p>
    <w:p w:rsidR="004D4717" w:rsidRPr="00293836" w:rsidRDefault="004D4717" w:rsidP="004D4717">
      <w:pPr>
        <w:ind w:firstLine="1170"/>
        <w:jc w:val="both"/>
        <w:rPr>
          <w:lang w:val="bg-BG"/>
        </w:rPr>
      </w:pPr>
      <w:r w:rsidRPr="00293836">
        <w:rPr>
          <w:lang w:val="bg-BG"/>
        </w:rPr>
        <w:t>- Обезопасяване и сигнализиране на строителната площадка;</w:t>
      </w:r>
    </w:p>
    <w:p w:rsidR="004D4717" w:rsidRPr="00293836" w:rsidRDefault="004D4717" w:rsidP="004D4717">
      <w:pPr>
        <w:ind w:firstLine="1170"/>
        <w:jc w:val="both"/>
        <w:rPr>
          <w:lang w:val="bg-BG"/>
        </w:rPr>
      </w:pPr>
      <w:r w:rsidRPr="00293836">
        <w:rPr>
          <w:lang w:val="bg-BG"/>
        </w:rPr>
        <w:t>- Спазване изискванията на Закона за здравословни и безопасни условия на труд и условията на Наредба №2 от 2004г. за минималните изисквания за здравословни и безопасни условия на труд при извършване на СМР;</w:t>
      </w:r>
    </w:p>
    <w:p w:rsidR="004D4717" w:rsidRPr="00293836" w:rsidRDefault="004D4717" w:rsidP="004D4717">
      <w:pPr>
        <w:ind w:firstLine="1170"/>
        <w:jc w:val="both"/>
        <w:rPr>
          <w:lang w:val="bg-BG"/>
        </w:rPr>
      </w:pPr>
      <w:r w:rsidRPr="00293836">
        <w:rPr>
          <w:lang w:val="bg-BG"/>
        </w:rPr>
        <w:t>- При извършване на строителството да опазва подземната и надземна техническа инфраструктура  и съоръжения. При нанасяне на щети да ги възстановява за своя сметка в рамките на изпълнението на възложената дейност;</w:t>
      </w:r>
    </w:p>
    <w:p w:rsidR="004D4717" w:rsidRPr="00293836" w:rsidRDefault="004D4717" w:rsidP="004D4717">
      <w:pPr>
        <w:ind w:firstLine="1170"/>
        <w:jc w:val="both"/>
        <w:rPr>
          <w:lang w:val="bg-BG"/>
        </w:rPr>
      </w:pPr>
      <w:r w:rsidRPr="00293836">
        <w:rPr>
          <w:lang w:val="bg-BG"/>
        </w:rPr>
        <w:t xml:space="preserve">- За удостоверяването на некачествено или лошо изпълнение на СМР или такива изпълнени в отклонение от одобрените технически проекти,  се съставя констативен протокол  на място, подписан от представители на възложителя, изпълнителя, строителния надзор, лицето извършващо инвеститорски контрол и проектанта, извършващ авторски надзор, придружен със снимков материал. В случай, че изпълнителят откаже да подпише констативния протокол, същият се приема за подписан с подписите на останалите, като към него се прилага и снимковия материал. Отстраняването на констатираните недостатъци става в общия срок за изпълнение на строителството. </w:t>
      </w:r>
    </w:p>
    <w:p w:rsidR="004D4717" w:rsidRPr="00293836" w:rsidRDefault="004D4717" w:rsidP="004D4717">
      <w:pPr>
        <w:ind w:firstLine="1170"/>
        <w:jc w:val="both"/>
        <w:rPr>
          <w:lang w:val="bg-BG"/>
        </w:rPr>
      </w:pPr>
      <w:r w:rsidRPr="00293836">
        <w:rPr>
          <w:lang w:val="bg-BG"/>
        </w:rPr>
        <w:t>- Изготвяне на екзекутивна документация, съгласно чл.163, ал.2, т.4 от ЗУТ.</w:t>
      </w:r>
    </w:p>
    <w:p w:rsidR="004D4717" w:rsidRPr="00293836" w:rsidRDefault="004D4717" w:rsidP="004D4717">
      <w:pPr>
        <w:ind w:firstLine="1170"/>
        <w:jc w:val="both"/>
        <w:rPr>
          <w:lang w:val="bg-BG"/>
        </w:rPr>
      </w:pPr>
      <w:r w:rsidRPr="00293836">
        <w:rPr>
          <w:lang w:val="bg-BG"/>
        </w:rPr>
        <w:t>- Изпълнителят е длъжен да осигури необходимото оборудване, предназначено за ползване по време на строително-монтажните работи.</w:t>
      </w:r>
    </w:p>
    <w:p w:rsidR="004D4717" w:rsidRPr="00293836" w:rsidRDefault="004D4717" w:rsidP="004D4717">
      <w:pPr>
        <w:jc w:val="both"/>
        <w:rPr>
          <w:b/>
          <w:lang w:val="bg-BG"/>
        </w:rPr>
      </w:pPr>
    </w:p>
    <w:p w:rsidR="004D4717" w:rsidRPr="00293836" w:rsidRDefault="004D4717" w:rsidP="004D4717">
      <w:pPr>
        <w:jc w:val="both"/>
        <w:rPr>
          <w:b/>
          <w:i/>
          <w:u w:val="single"/>
          <w:lang w:val="bg-BG"/>
        </w:rPr>
      </w:pPr>
      <w:r w:rsidRPr="00293836">
        <w:rPr>
          <w:b/>
          <w:i/>
          <w:u w:val="single"/>
          <w:lang w:val="bg-BG"/>
        </w:rPr>
        <w:t xml:space="preserve">Изисквания за качество: </w:t>
      </w:r>
    </w:p>
    <w:p w:rsidR="004D4717" w:rsidRPr="00293836" w:rsidRDefault="004D4717" w:rsidP="004D4717">
      <w:pPr>
        <w:ind w:firstLine="1170"/>
        <w:jc w:val="both"/>
        <w:rPr>
          <w:lang w:val="bg-BG"/>
        </w:rPr>
      </w:pPr>
      <w:r w:rsidRPr="00293836">
        <w:rPr>
          <w:lang w:val="bg-BG"/>
        </w:rPr>
        <w:t>Стандарти и норми: В допълнение към изискванията, съдържащи се в настоящите спецификации, всички извършени работи и доставени материали трябва да отговарят на актуалните Български държавни стандарти или еквивалентни международни стандарти.</w:t>
      </w:r>
    </w:p>
    <w:p w:rsidR="004D4717" w:rsidRPr="00293836" w:rsidRDefault="004D4717" w:rsidP="004D4717">
      <w:pPr>
        <w:tabs>
          <w:tab w:val="left" w:pos="1560"/>
        </w:tabs>
        <w:ind w:right="46" w:firstLine="900"/>
        <w:jc w:val="both"/>
        <w:rPr>
          <w:i/>
          <w:lang w:val="bg-BG"/>
        </w:rPr>
      </w:pPr>
    </w:p>
    <w:p w:rsidR="006B7C9C" w:rsidRPr="00293836" w:rsidRDefault="006B7C9C" w:rsidP="008A0EE8">
      <w:pPr>
        <w:tabs>
          <w:tab w:val="left" w:pos="-3261"/>
        </w:tabs>
        <w:ind w:right="-41" w:firstLine="570"/>
        <w:jc w:val="both"/>
        <w:rPr>
          <w:lang w:val="bg-BG"/>
        </w:rPr>
      </w:pPr>
    </w:p>
    <w:sectPr w:rsidR="006B7C9C" w:rsidRPr="00293836" w:rsidSect="00293836">
      <w:footerReference w:type="default" r:id="rId10"/>
      <w:pgSz w:w="11906" w:h="16838"/>
      <w:pgMar w:top="450" w:right="926" w:bottom="851" w:left="900" w:header="706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D4A" w:rsidRDefault="00F94D4A" w:rsidP="007A7C9C">
      <w:r>
        <w:separator/>
      </w:r>
    </w:p>
  </w:endnote>
  <w:endnote w:type="continuationSeparator" w:id="0">
    <w:p w:rsidR="00F94D4A" w:rsidRDefault="00F94D4A" w:rsidP="007A7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C9C" w:rsidRPr="007A7C9C" w:rsidRDefault="00F94D4A">
    <w:pPr>
      <w:pStyle w:val="ab"/>
      <w:jc w:val="right"/>
      <w:rPr>
        <w:sz w:val="16"/>
        <w:szCs w:val="16"/>
      </w:rPr>
    </w:pPr>
    <w:sdt>
      <w:sdtPr>
        <w:id w:val="24760797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r w:rsidR="009736DA" w:rsidRPr="007A7C9C">
          <w:rPr>
            <w:sz w:val="16"/>
            <w:szCs w:val="16"/>
          </w:rPr>
          <w:fldChar w:fldCharType="begin"/>
        </w:r>
        <w:r w:rsidR="007A7C9C" w:rsidRPr="007A7C9C">
          <w:rPr>
            <w:sz w:val="16"/>
            <w:szCs w:val="16"/>
          </w:rPr>
          <w:instrText xml:space="preserve"> PAGE   \* MERGEFORMAT </w:instrText>
        </w:r>
        <w:r w:rsidR="009736DA" w:rsidRPr="007A7C9C">
          <w:rPr>
            <w:sz w:val="16"/>
            <w:szCs w:val="16"/>
          </w:rPr>
          <w:fldChar w:fldCharType="separate"/>
        </w:r>
        <w:r w:rsidR="00C07508">
          <w:rPr>
            <w:noProof/>
            <w:sz w:val="16"/>
            <w:szCs w:val="16"/>
          </w:rPr>
          <w:t>4</w:t>
        </w:r>
        <w:r w:rsidR="009736DA" w:rsidRPr="007A7C9C">
          <w:rPr>
            <w:sz w:val="16"/>
            <w:szCs w:val="16"/>
          </w:rPr>
          <w:fldChar w:fldCharType="end"/>
        </w:r>
      </w:sdtContent>
    </w:sdt>
  </w:p>
  <w:p w:rsidR="007A7C9C" w:rsidRDefault="007A7C9C" w:rsidP="000C11C7">
    <w:pPr>
      <w:jc w:val="center"/>
      <w:rPr>
        <w:b/>
        <w:sz w:val="16"/>
        <w:szCs w:val="16"/>
        <w:lang w:val="bg-BG"/>
      </w:rPr>
    </w:pPr>
    <w:r>
      <w:rPr>
        <w:b/>
        <w:sz w:val="16"/>
        <w:szCs w:val="16"/>
        <w:lang w:val="bg-BG"/>
      </w:rPr>
      <w:t>_______________________________________________________________________________________________________</w:t>
    </w:r>
  </w:p>
  <w:p w:rsidR="007A7C9C" w:rsidRDefault="007A7C9C" w:rsidP="000C11C7">
    <w:pPr>
      <w:pStyle w:val="ab"/>
      <w:jc w:val="center"/>
      <w:rPr>
        <w:b/>
        <w:sz w:val="16"/>
        <w:szCs w:val="16"/>
        <w:lang w:val="bg-BG"/>
      </w:rPr>
    </w:pPr>
    <w:r w:rsidRPr="00C55350">
      <w:rPr>
        <w:b/>
        <w:sz w:val="16"/>
        <w:szCs w:val="16"/>
        <w:lang w:val="bg-BG"/>
      </w:rPr>
      <w:t>6300 Хасково, пл. Свобода 5</w:t>
    </w:r>
    <w:r>
      <w:rPr>
        <w:b/>
        <w:sz w:val="16"/>
        <w:szCs w:val="16"/>
        <w:lang w:val="bg-BG"/>
      </w:rPr>
      <w:t xml:space="preserve"> </w:t>
    </w:r>
    <w:r w:rsidRPr="00C55350">
      <w:rPr>
        <w:b/>
        <w:sz w:val="16"/>
        <w:szCs w:val="16"/>
        <w:lang w:val="bg-BG"/>
      </w:rPr>
      <w:t>Тел.: +359 38 60 80 11, факс: +359 38 60 80 50</w:t>
    </w:r>
    <w:r>
      <w:rPr>
        <w:b/>
        <w:sz w:val="16"/>
        <w:szCs w:val="16"/>
        <w:lang w:val="bg-BG"/>
      </w:rPr>
      <w:t xml:space="preserve"> </w:t>
    </w:r>
    <w:r w:rsidRPr="00C55350">
      <w:rPr>
        <w:b/>
        <w:sz w:val="16"/>
        <w:szCs w:val="16"/>
      </w:rPr>
      <w:t xml:space="preserve">e-mail: </w:t>
    </w:r>
    <w:hyperlink r:id="rId1" w:history="1">
      <w:r w:rsidRPr="006A2A57">
        <w:rPr>
          <w:rStyle w:val="ad"/>
          <w:b/>
          <w:sz w:val="16"/>
          <w:szCs w:val="16"/>
        </w:rPr>
        <w:t xml:space="preserve">oblast@hs.government.bg </w:t>
      </w:r>
    </w:hyperlink>
    <w:r>
      <w:rPr>
        <w:b/>
        <w:sz w:val="16"/>
        <w:szCs w:val="16"/>
        <w:lang w:val="bg-BG"/>
      </w:rPr>
      <w:t xml:space="preserve"> </w:t>
    </w:r>
    <w:r w:rsidRPr="00C55350">
      <w:rPr>
        <w:b/>
        <w:sz w:val="16"/>
        <w:szCs w:val="16"/>
      </w:rPr>
      <w:t xml:space="preserve">web: </w:t>
    </w:r>
    <w:hyperlink r:id="rId2" w:history="1">
      <w:r w:rsidRPr="00F140FF">
        <w:rPr>
          <w:rStyle w:val="ad"/>
          <w:b/>
          <w:sz w:val="16"/>
          <w:szCs w:val="16"/>
        </w:rPr>
        <w:t>www.hs.government.bg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D4A" w:rsidRDefault="00F94D4A" w:rsidP="007A7C9C">
      <w:r>
        <w:separator/>
      </w:r>
    </w:p>
  </w:footnote>
  <w:footnote w:type="continuationSeparator" w:id="0">
    <w:p w:rsidR="00F94D4A" w:rsidRDefault="00F94D4A" w:rsidP="007A7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E73CE"/>
    <w:multiLevelType w:val="hybridMultilevel"/>
    <w:tmpl w:val="0FAC90AC"/>
    <w:lvl w:ilvl="0" w:tplc="040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D0FE1F7E">
      <w:numFmt w:val="bullet"/>
      <w:lvlText w:val="–"/>
      <w:lvlJc w:val="left"/>
      <w:pPr>
        <w:ind w:left="1830" w:hanging="705"/>
      </w:pPr>
      <w:rPr>
        <w:rFonts w:ascii="Times New Roman" w:eastAsia="Calibri" w:hAnsi="Times New Roman" w:cs="Times New Roman" w:hint="default"/>
      </w:rPr>
    </w:lvl>
    <w:lvl w:ilvl="2" w:tplc="04090009">
      <w:start w:val="1"/>
      <w:numFmt w:val="bullet"/>
      <w:lvlText w:val=""/>
      <w:lvlJc w:val="left"/>
      <w:pPr>
        <w:ind w:left="2550" w:hanging="705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C6516C0"/>
    <w:multiLevelType w:val="hybridMultilevel"/>
    <w:tmpl w:val="464657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74410"/>
    <w:multiLevelType w:val="hybridMultilevel"/>
    <w:tmpl w:val="C12AFC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790E9E"/>
    <w:multiLevelType w:val="hybridMultilevel"/>
    <w:tmpl w:val="E16A1E06"/>
    <w:lvl w:ilvl="0" w:tplc="0402000B">
      <w:start w:val="1"/>
      <w:numFmt w:val="bullet"/>
      <w:lvlText w:val=""/>
      <w:lvlJc w:val="left"/>
      <w:pPr>
        <w:ind w:left="189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4">
    <w:nsid w:val="25921BEE"/>
    <w:multiLevelType w:val="hybridMultilevel"/>
    <w:tmpl w:val="7A2C7694"/>
    <w:lvl w:ilvl="0" w:tplc="BC56A2F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38749E5"/>
    <w:multiLevelType w:val="hybridMultilevel"/>
    <w:tmpl w:val="EFE4AA86"/>
    <w:lvl w:ilvl="0" w:tplc="2B5AA1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1643E5"/>
    <w:multiLevelType w:val="hybridMultilevel"/>
    <w:tmpl w:val="6A747758"/>
    <w:lvl w:ilvl="0" w:tplc="040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D0FE1F7E">
      <w:numFmt w:val="bullet"/>
      <w:lvlText w:val="–"/>
      <w:lvlJc w:val="left"/>
      <w:pPr>
        <w:ind w:left="1830" w:hanging="705"/>
      </w:pPr>
      <w:rPr>
        <w:rFonts w:ascii="Times New Roman" w:eastAsia="Calibri" w:hAnsi="Times New Roman" w:cs="Times New Roman" w:hint="default"/>
      </w:rPr>
    </w:lvl>
    <w:lvl w:ilvl="2" w:tplc="130893E6">
      <w:numFmt w:val="bullet"/>
      <w:lvlText w:val="•"/>
      <w:lvlJc w:val="left"/>
      <w:pPr>
        <w:ind w:left="2550" w:hanging="705"/>
      </w:pPr>
      <w:rPr>
        <w:rFonts w:ascii="Times New Roman" w:eastAsia="Calibri" w:hAnsi="Times New Roman" w:cs="Times New Roman" w:hint="default"/>
      </w:rPr>
    </w:lvl>
    <w:lvl w:ilvl="3" w:tplc="DEF02C46">
      <w:numFmt w:val="bullet"/>
      <w:lvlText w:val="-"/>
      <w:lvlJc w:val="left"/>
      <w:pPr>
        <w:ind w:left="2925" w:hanging="360"/>
      </w:pPr>
      <w:rPr>
        <w:rFonts w:ascii="Times New Roman" w:eastAsia="Calibri" w:hAnsi="Times New Roman" w:cs="Times New Roman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53441906"/>
    <w:multiLevelType w:val="hybridMultilevel"/>
    <w:tmpl w:val="CBEE26DA"/>
    <w:lvl w:ilvl="0" w:tplc="1A10588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77544A7"/>
    <w:multiLevelType w:val="hybridMultilevel"/>
    <w:tmpl w:val="E954DD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412DDC"/>
    <w:multiLevelType w:val="hybridMultilevel"/>
    <w:tmpl w:val="1DB29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2942B7"/>
    <w:multiLevelType w:val="hybridMultilevel"/>
    <w:tmpl w:val="5D248D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3E2FF3"/>
    <w:multiLevelType w:val="hybridMultilevel"/>
    <w:tmpl w:val="D124D818"/>
    <w:lvl w:ilvl="0" w:tplc="6BC03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10"/>
  </w:num>
  <w:num w:numId="7">
    <w:abstractNumId w:val="0"/>
  </w:num>
  <w:num w:numId="8">
    <w:abstractNumId w:val="5"/>
  </w:num>
  <w:num w:numId="9">
    <w:abstractNumId w:val="11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44C6"/>
    <w:rsid w:val="0001427E"/>
    <w:rsid w:val="00083A09"/>
    <w:rsid w:val="000C11C7"/>
    <w:rsid w:val="00135780"/>
    <w:rsid w:val="00167877"/>
    <w:rsid w:val="001957F3"/>
    <w:rsid w:val="001B0A22"/>
    <w:rsid w:val="001C519B"/>
    <w:rsid w:val="00223E2C"/>
    <w:rsid w:val="00293836"/>
    <w:rsid w:val="002B7B08"/>
    <w:rsid w:val="002F6522"/>
    <w:rsid w:val="00336C22"/>
    <w:rsid w:val="00370003"/>
    <w:rsid w:val="00412BBC"/>
    <w:rsid w:val="00414252"/>
    <w:rsid w:val="004473D9"/>
    <w:rsid w:val="00487B99"/>
    <w:rsid w:val="004D4717"/>
    <w:rsid w:val="0051230D"/>
    <w:rsid w:val="00513DF4"/>
    <w:rsid w:val="0052139C"/>
    <w:rsid w:val="005532D5"/>
    <w:rsid w:val="005A3112"/>
    <w:rsid w:val="005C7BE3"/>
    <w:rsid w:val="00602070"/>
    <w:rsid w:val="00606DEE"/>
    <w:rsid w:val="006B7C9C"/>
    <w:rsid w:val="006C7936"/>
    <w:rsid w:val="007616DC"/>
    <w:rsid w:val="007970A2"/>
    <w:rsid w:val="007A7C9C"/>
    <w:rsid w:val="007C1542"/>
    <w:rsid w:val="007E58D8"/>
    <w:rsid w:val="00823CD3"/>
    <w:rsid w:val="00846F67"/>
    <w:rsid w:val="00853BA0"/>
    <w:rsid w:val="0088296C"/>
    <w:rsid w:val="008A0EE8"/>
    <w:rsid w:val="008B1E8F"/>
    <w:rsid w:val="008F5FCF"/>
    <w:rsid w:val="009258BC"/>
    <w:rsid w:val="009736DA"/>
    <w:rsid w:val="009B5D08"/>
    <w:rsid w:val="009C3666"/>
    <w:rsid w:val="009F3D7E"/>
    <w:rsid w:val="00A60CCE"/>
    <w:rsid w:val="00BE6910"/>
    <w:rsid w:val="00C07508"/>
    <w:rsid w:val="00C37578"/>
    <w:rsid w:val="00C75D30"/>
    <w:rsid w:val="00C86529"/>
    <w:rsid w:val="00C944C6"/>
    <w:rsid w:val="00CB1D7D"/>
    <w:rsid w:val="00CE1EC8"/>
    <w:rsid w:val="00D078E6"/>
    <w:rsid w:val="00D259A8"/>
    <w:rsid w:val="00D33F17"/>
    <w:rsid w:val="00D3636B"/>
    <w:rsid w:val="00D67C19"/>
    <w:rsid w:val="00E938FB"/>
    <w:rsid w:val="00EA525B"/>
    <w:rsid w:val="00EC40E6"/>
    <w:rsid w:val="00EE6462"/>
    <w:rsid w:val="00F47DB6"/>
    <w:rsid w:val="00F94D4A"/>
    <w:rsid w:val="00FB5EDE"/>
    <w:rsid w:val="00FC4331"/>
    <w:rsid w:val="00FF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">
    <w:name w:val="heading 3"/>
    <w:basedOn w:val="a"/>
    <w:next w:val="a"/>
    <w:link w:val="30"/>
    <w:unhideWhenUsed/>
    <w:qFormat/>
    <w:rsid w:val="00C944C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лавие 3 Знак"/>
    <w:basedOn w:val="a0"/>
    <w:link w:val="3"/>
    <w:rsid w:val="00C944C6"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a3">
    <w:name w:val="List Paragraph"/>
    <w:basedOn w:val="a"/>
    <w:uiPriority w:val="34"/>
    <w:qFormat/>
    <w:rsid w:val="00C944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character" w:styleId="a4">
    <w:name w:val="Intense Reference"/>
    <w:basedOn w:val="a0"/>
    <w:uiPriority w:val="32"/>
    <w:qFormat/>
    <w:rsid w:val="00C944C6"/>
    <w:rPr>
      <w:b/>
      <w:bCs/>
      <w:smallCaps/>
      <w:color w:val="C0504D"/>
      <w:spacing w:val="5"/>
      <w:u w:val="single"/>
    </w:rPr>
  </w:style>
  <w:style w:type="paragraph" w:styleId="a5">
    <w:name w:val="Intense Quote"/>
    <w:basedOn w:val="a"/>
    <w:next w:val="a"/>
    <w:link w:val="a6"/>
    <w:uiPriority w:val="30"/>
    <w:qFormat/>
    <w:rsid w:val="00C944C6"/>
    <w:pPr>
      <w:pBdr>
        <w:bottom w:val="single" w:sz="4" w:space="4" w:color="4F81BD"/>
      </w:pBdr>
      <w:spacing w:before="200" w:after="280"/>
      <w:ind w:left="936" w:right="936"/>
    </w:pPr>
    <w:rPr>
      <w:rFonts w:eastAsia="Batang"/>
      <w:b/>
      <w:bCs/>
      <w:i/>
      <w:iCs/>
      <w:color w:val="4F81BD"/>
      <w:szCs w:val="20"/>
      <w:lang w:val="en-GB"/>
    </w:rPr>
  </w:style>
  <w:style w:type="character" w:customStyle="1" w:styleId="a6">
    <w:name w:val="Интензивно цитиране Знак"/>
    <w:basedOn w:val="a0"/>
    <w:link w:val="a5"/>
    <w:uiPriority w:val="30"/>
    <w:rsid w:val="00C944C6"/>
    <w:rPr>
      <w:rFonts w:ascii="Times New Roman" w:eastAsia="Batang" w:hAnsi="Times New Roman" w:cs="Times New Roman"/>
      <w:b/>
      <w:bCs/>
      <w:i/>
      <w:iCs/>
      <w:color w:val="4F81BD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7A7C9C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7A7C9C"/>
    <w:rPr>
      <w:rFonts w:ascii="Tahoma" w:eastAsia="Times New Roman" w:hAnsi="Tahoma" w:cs="Tahoma"/>
      <w:sz w:val="16"/>
      <w:szCs w:val="16"/>
      <w:lang w:val="en-US"/>
    </w:rPr>
  </w:style>
  <w:style w:type="paragraph" w:styleId="a9">
    <w:name w:val="header"/>
    <w:basedOn w:val="a"/>
    <w:link w:val="aa"/>
    <w:uiPriority w:val="99"/>
    <w:unhideWhenUsed/>
    <w:rsid w:val="007A7C9C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7A7C9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footer"/>
    <w:basedOn w:val="a"/>
    <w:link w:val="ac"/>
    <w:uiPriority w:val="99"/>
    <w:unhideWhenUsed/>
    <w:rsid w:val="007A7C9C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7A7C9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d">
    <w:name w:val="Hyperlink"/>
    <w:basedOn w:val="a0"/>
    <w:uiPriority w:val="99"/>
    <w:rsid w:val="007A7C9C"/>
    <w:rPr>
      <w:rFonts w:cs="Times New Roman"/>
      <w:color w:val="0000FF"/>
      <w:u w:val="single"/>
    </w:rPr>
  </w:style>
  <w:style w:type="paragraph" w:customStyle="1" w:styleId="CharCharCharCharChar">
    <w:name w:val="Char Char Char Char Знак Знак Char"/>
    <w:basedOn w:val="a"/>
    <w:rsid w:val="008A0EE8"/>
    <w:pPr>
      <w:tabs>
        <w:tab w:val="left" w:pos="709"/>
        <w:tab w:val="num" w:pos="1260"/>
      </w:tabs>
      <w:spacing w:after="120"/>
      <w:ind w:firstLine="540"/>
      <w:jc w:val="both"/>
    </w:pPr>
    <w:rPr>
      <w:rFonts w:ascii="Tahoma" w:hAnsi="Tahoma"/>
      <w:lang w:val="pl-PL" w:eastAsia="pl-PL"/>
    </w:rPr>
  </w:style>
  <w:style w:type="paragraph" w:styleId="2">
    <w:name w:val="Body Text 2"/>
    <w:basedOn w:val="a"/>
    <w:link w:val="20"/>
    <w:uiPriority w:val="99"/>
    <w:semiHidden/>
    <w:unhideWhenUsed/>
    <w:rsid w:val="004D4717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20">
    <w:name w:val="Основен текст 2 Знак"/>
    <w:basedOn w:val="a0"/>
    <w:link w:val="2"/>
    <w:uiPriority w:val="99"/>
    <w:semiHidden/>
    <w:rsid w:val="004D4717"/>
    <w:rPr>
      <w:rFonts w:eastAsiaTheme="minorEastAsia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s.government.bg" TargetMode="External"/><Relationship Id="rId1" Type="http://schemas.openxmlformats.org/officeDocument/2006/relationships/hyperlink" Target="mailto:oblast@hs.government.b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795C8-848B-4DA0-AC17-8AB973536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4</Pages>
  <Words>2102</Words>
  <Characters>11985</Characters>
  <Application>Microsoft Office Word</Application>
  <DocSecurity>0</DocSecurity>
  <Lines>99</Lines>
  <Paragraphs>28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MDAAR</Company>
  <LinksUpToDate>false</LinksUpToDate>
  <CharactersWithSpaces>14059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g.hristova</dc:creator>
  <cp:keywords/>
  <dc:description/>
  <cp:lastModifiedBy>Maria Videnova</cp:lastModifiedBy>
  <cp:revision>32</cp:revision>
  <cp:lastPrinted>2015-04-24T12:26:00Z</cp:lastPrinted>
  <dcterms:created xsi:type="dcterms:W3CDTF">2013-11-18T09:17:00Z</dcterms:created>
  <dcterms:modified xsi:type="dcterms:W3CDTF">2015-08-19T08:23:00Z</dcterms:modified>
</cp:coreProperties>
</file>